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50D9" w14:textId="13355719" w:rsidR="00FD3F2C" w:rsidRPr="00FD3F2C" w:rsidRDefault="00FD3F2C" w:rsidP="00FD3F2C">
      <w:pPr>
        <w:shd w:val="clear" w:color="auto" w:fill="FFFFFF"/>
        <w:spacing w:after="100" w:afterAutospacing="1" w:line="240" w:lineRule="auto"/>
        <w:rPr>
          <w:rFonts w:ascii="Arial" w:eastAsia="Times New Roman" w:hAnsi="Arial" w:cs="Arial"/>
          <w:color w:val="FFFFFF"/>
          <w:sz w:val="24"/>
          <w:szCs w:val="24"/>
          <w:lang w:eastAsia="fr-FR"/>
        </w:rPr>
      </w:pPr>
    </w:p>
    <w:p w14:paraId="6D46672D" w14:textId="77777777" w:rsidR="00FD3F2C" w:rsidRPr="00FD3F2C" w:rsidRDefault="00FD3F2C" w:rsidP="00FD3F2C">
      <w:pPr>
        <w:shd w:val="clear" w:color="auto" w:fill="142335"/>
        <w:spacing w:after="120" w:line="240" w:lineRule="auto"/>
        <w:outlineLvl w:val="0"/>
        <w:rPr>
          <w:rFonts w:ascii="Arial" w:eastAsia="Times New Roman" w:hAnsi="Arial" w:cs="Arial"/>
          <w:b/>
          <w:bCs/>
          <w:color w:val="FFFFFF"/>
          <w:kern w:val="36"/>
          <w:sz w:val="48"/>
          <w:szCs w:val="48"/>
          <w:lang w:eastAsia="fr-FR"/>
        </w:rPr>
      </w:pPr>
      <w:r w:rsidRPr="00FD3F2C">
        <w:rPr>
          <w:rFonts w:ascii="Arial" w:eastAsia="Times New Roman" w:hAnsi="Arial" w:cs="Arial"/>
          <w:b/>
          <w:bCs/>
          <w:color w:val="FFFFFF"/>
          <w:kern w:val="36"/>
          <w:sz w:val="48"/>
          <w:szCs w:val="48"/>
          <w:lang w:eastAsia="fr-FR"/>
        </w:rPr>
        <w:t>Loi du 28 février 2022 pour un accès plus juste, plus simple et plus transparent au marché de l’assurance emprunteur</w:t>
      </w:r>
    </w:p>
    <w:p w14:paraId="53B5F9D8" w14:textId="77777777" w:rsidR="00FD3F2C" w:rsidRPr="00FD3F2C" w:rsidRDefault="00FD3F2C" w:rsidP="00FD3F2C">
      <w:pPr>
        <w:shd w:val="clear" w:color="auto" w:fill="5AE291"/>
        <w:spacing w:after="100" w:afterAutospacing="1" w:line="240" w:lineRule="auto"/>
        <w:rPr>
          <w:rFonts w:ascii="Arial" w:eastAsia="Times New Roman" w:hAnsi="Arial" w:cs="Arial"/>
          <w:b/>
          <w:bCs/>
          <w:color w:val="222222"/>
          <w:sz w:val="24"/>
          <w:szCs w:val="24"/>
          <w:lang w:eastAsia="fr-FR"/>
        </w:rPr>
      </w:pPr>
      <w:r w:rsidRPr="00FD3F2C">
        <w:rPr>
          <w:rFonts w:ascii="Arial" w:eastAsia="Times New Roman" w:hAnsi="Arial" w:cs="Arial"/>
          <w:b/>
          <w:bCs/>
          <w:color w:val="222222"/>
          <w:sz w:val="24"/>
          <w:szCs w:val="24"/>
          <w:lang w:eastAsia="fr-FR"/>
        </w:rPr>
        <w:t>La loi a été promulguée le 28 février 2022</w:t>
      </w:r>
    </w:p>
    <w:p w14:paraId="09E4C8E0" w14:textId="387EFCC1" w:rsidR="00FD3F2C" w:rsidRPr="00FD3F2C" w:rsidRDefault="00FD3F2C" w:rsidP="00213F2B">
      <w:pPr>
        <w:shd w:val="clear" w:color="auto" w:fill="5AE291"/>
        <w:spacing w:after="100" w:afterAutospacing="1" w:line="240" w:lineRule="auto"/>
        <w:rPr>
          <w:rFonts w:ascii="Arial" w:eastAsia="Times New Roman" w:hAnsi="Arial" w:cs="Arial"/>
          <w:b/>
          <w:bCs/>
          <w:color w:val="222222"/>
          <w:sz w:val="24"/>
          <w:szCs w:val="24"/>
          <w:lang w:eastAsia="fr-FR"/>
        </w:rPr>
      </w:pPr>
      <w:r w:rsidRPr="00FD3F2C">
        <w:rPr>
          <w:rFonts w:ascii="Arial" w:eastAsia="Times New Roman" w:hAnsi="Arial" w:cs="Arial"/>
          <w:b/>
          <w:bCs/>
          <w:color w:val="222222"/>
          <w:sz w:val="24"/>
          <w:szCs w:val="24"/>
          <w:lang w:eastAsia="fr-FR"/>
        </w:rPr>
        <w:t>Elle a été publiée au Journal off</w:t>
      </w:r>
      <w:r w:rsidR="00213F2B">
        <w:rPr>
          <w:rFonts w:ascii="Arial" w:eastAsia="Times New Roman" w:hAnsi="Arial" w:cs="Arial"/>
          <w:b/>
          <w:bCs/>
          <w:color w:val="222222"/>
          <w:sz w:val="24"/>
          <w:szCs w:val="24"/>
          <w:lang w:eastAsia="fr-FR"/>
        </w:rPr>
        <w:t>iciel du 1</w:t>
      </w:r>
      <w:r w:rsidR="00213F2B" w:rsidRPr="00213F2B">
        <w:rPr>
          <w:rFonts w:ascii="Arial" w:eastAsia="Times New Roman" w:hAnsi="Arial" w:cs="Arial"/>
          <w:b/>
          <w:bCs/>
          <w:color w:val="222222"/>
          <w:sz w:val="24"/>
          <w:szCs w:val="24"/>
          <w:vertAlign w:val="superscript"/>
          <w:lang w:eastAsia="fr-FR"/>
        </w:rPr>
        <w:t>er</w:t>
      </w:r>
      <w:r w:rsidR="00213F2B">
        <w:rPr>
          <w:rFonts w:ascii="Arial" w:eastAsia="Times New Roman" w:hAnsi="Arial" w:cs="Arial"/>
          <w:b/>
          <w:bCs/>
          <w:color w:val="222222"/>
          <w:sz w:val="24"/>
          <w:szCs w:val="24"/>
          <w:lang w:eastAsia="fr-FR"/>
        </w:rPr>
        <w:t xml:space="preserve"> mars 2022</w:t>
      </w:r>
    </w:p>
    <w:p w14:paraId="28FAF53F" w14:textId="77777777" w:rsidR="00FD3F2C" w:rsidRPr="00FD3F2C" w:rsidRDefault="00FD3F2C" w:rsidP="00FD3F2C">
      <w:pPr>
        <w:shd w:val="clear" w:color="auto" w:fill="5AE291"/>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br/>
      </w:r>
      <w:r w:rsidRPr="00FD3F2C">
        <w:rPr>
          <w:rFonts w:ascii="Arial" w:eastAsia="Times New Roman" w:hAnsi="Arial" w:cs="Arial"/>
          <w:color w:val="222222"/>
          <w:sz w:val="24"/>
          <w:szCs w:val="24"/>
          <w:lang w:eastAsia="fr-FR"/>
        </w:rPr>
        <w:br/>
      </w:r>
    </w:p>
    <w:p w14:paraId="3E9F2A62" w14:textId="77777777" w:rsidR="00FD3F2C" w:rsidRPr="00FD3F2C" w:rsidRDefault="00FD3F2C" w:rsidP="00FD3F2C">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fr-FR"/>
        </w:rPr>
      </w:pPr>
      <w:hyperlink r:id="rId5" w:anchor="titre_0" w:history="1">
        <w:r w:rsidRPr="00FD3F2C">
          <w:rPr>
            <w:rFonts w:ascii="Arial" w:eastAsia="Times New Roman" w:hAnsi="Arial" w:cs="Arial"/>
            <w:b/>
            <w:bCs/>
            <w:color w:val="222222"/>
            <w:sz w:val="24"/>
            <w:szCs w:val="24"/>
            <w:u w:val="single"/>
            <w:lang w:eastAsia="fr-FR"/>
          </w:rPr>
          <w:t>Un droit de résiliation à tout moment de l'assurance emprunteur</w:t>
        </w:r>
      </w:hyperlink>
    </w:p>
    <w:p w14:paraId="7B29C9CA" w14:textId="77777777" w:rsidR="00FD3F2C" w:rsidRPr="00FD3F2C" w:rsidRDefault="00FD3F2C" w:rsidP="00FD3F2C">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fr-FR"/>
        </w:rPr>
      </w:pPr>
      <w:hyperlink r:id="rId6" w:anchor="titre_1" w:history="1">
        <w:r w:rsidRPr="00FD3F2C">
          <w:rPr>
            <w:rFonts w:ascii="Arial" w:eastAsia="Times New Roman" w:hAnsi="Arial" w:cs="Arial"/>
            <w:b/>
            <w:bCs/>
            <w:color w:val="222222"/>
            <w:sz w:val="24"/>
            <w:szCs w:val="24"/>
            <w:u w:val="single"/>
            <w:lang w:eastAsia="fr-FR"/>
          </w:rPr>
          <w:t>Une assurance emprunteur plus accessible pour les malades</w:t>
        </w:r>
      </w:hyperlink>
    </w:p>
    <w:p w14:paraId="69199C00" w14:textId="77777777" w:rsidR="00FD3F2C" w:rsidRPr="00FD3F2C" w:rsidRDefault="00FD3F2C" w:rsidP="00FD3F2C">
      <w:pPr>
        <w:shd w:val="clear" w:color="auto" w:fill="FFFFFF"/>
        <w:spacing w:after="100" w:afterAutospacing="1" w:line="240" w:lineRule="auto"/>
        <w:outlineLvl w:val="1"/>
        <w:rPr>
          <w:rFonts w:ascii="Arial" w:eastAsia="Times New Roman" w:hAnsi="Arial" w:cs="Arial"/>
          <w:b/>
          <w:bCs/>
          <w:color w:val="222222"/>
          <w:sz w:val="36"/>
          <w:szCs w:val="36"/>
          <w:lang w:eastAsia="fr-FR"/>
        </w:rPr>
      </w:pPr>
      <w:r w:rsidRPr="00FD3F2C">
        <w:rPr>
          <w:rFonts w:ascii="Arial" w:eastAsia="Times New Roman" w:hAnsi="Arial" w:cs="Arial"/>
          <w:b/>
          <w:bCs/>
          <w:color w:val="222222"/>
          <w:sz w:val="36"/>
          <w:szCs w:val="36"/>
          <w:lang w:eastAsia="fr-FR"/>
        </w:rPr>
        <w:t>Un droit de résiliation à tout moment de l'assurance emprunteur</w:t>
      </w:r>
    </w:p>
    <w:p w14:paraId="2B1B5AD6" w14:textId="4B5C11D3"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La loi ouvre la </w:t>
      </w:r>
      <w:r w:rsidRPr="00FD3F2C">
        <w:rPr>
          <w:rFonts w:ascii="Arial" w:eastAsia="Times New Roman" w:hAnsi="Arial" w:cs="Arial"/>
          <w:b/>
          <w:bCs/>
          <w:color w:val="222222"/>
          <w:sz w:val="24"/>
          <w:szCs w:val="24"/>
          <w:lang w:eastAsia="fr-FR"/>
        </w:rPr>
        <w:t>possibilité</w:t>
      </w:r>
      <w:r w:rsidRPr="00FD3F2C">
        <w:rPr>
          <w:rFonts w:ascii="Arial" w:eastAsia="Times New Roman" w:hAnsi="Arial" w:cs="Arial"/>
          <w:color w:val="222222"/>
          <w:sz w:val="24"/>
          <w:szCs w:val="24"/>
          <w:lang w:eastAsia="fr-FR"/>
        </w:rPr>
        <w:t> pour toutes les personnes qui ont contracté un </w:t>
      </w:r>
      <w:r w:rsidRPr="00FD3F2C">
        <w:rPr>
          <w:rFonts w:ascii="Arial" w:eastAsia="Times New Roman" w:hAnsi="Arial" w:cs="Arial"/>
          <w:b/>
          <w:bCs/>
          <w:color w:val="222222"/>
          <w:sz w:val="24"/>
          <w:szCs w:val="24"/>
          <w:lang w:eastAsia="fr-FR"/>
        </w:rPr>
        <w:t>prêt immobilier</w:t>
      </w:r>
      <w:r w:rsidRPr="00FD3F2C">
        <w:rPr>
          <w:rFonts w:ascii="Arial" w:eastAsia="Times New Roman" w:hAnsi="Arial" w:cs="Arial"/>
          <w:color w:val="222222"/>
          <w:sz w:val="24"/>
          <w:szCs w:val="24"/>
          <w:lang w:eastAsia="fr-FR"/>
        </w:rPr>
        <w:t> </w:t>
      </w:r>
      <w:r w:rsidRPr="00FD3F2C">
        <w:rPr>
          <w:rFonts w:ascii="Arial" w:eastAsia="Times New Roman" w:hAnsi="Arial" w:cs="Arial"/>
          <w:b/>
          <w:bCs/>
          <w:color w:val="222222"/>
          <w:sz w:val="24"/>
          <w:szCs w:val="24"/>
          <w:lang w:eastAsia="fr-FR"/>
        </w:rPr>
        <w:t>de résilier et donc de changer à tout moment et sans frais leur assurance emprunteur</w:t>
      </w:r>
      <w:r w:rsidRPr="00FD3F2C">
        <w:rPr>
          <w:rFonts w:ascii="Arial" w:eastAsia="Times New Roman" w:hAnsi="Arial" w:cs="Arial"/>
          <w:color w:val="222222"/>
          <w:sz w:val="24"/>
          <w:szCs w:val="24"/>
          <w:lang w:eastAsia="fr-FR"/>
        </w:rPr>
        <w:t>. Cette mesure s'appliquera le 1er juin 2022 pour les nouvelles offres de prêts et, à partir du 1er septembre 2022, pour les contrats d'assurance en cours.</w:t>
      </w:r>
      <w:r>
        <w:rPr>
          <w:rFonts w:ascii="Arial" w:eastAsia="Times New Roman" w:hAnsi="Arial" w:cs="Arial"/>
          <w:color w:val="222222"/>
          <w:sz w:val="24"/>
          <w:szCs w:val="24"/>
          <w:lang w:eastAsia="fr-FR"/>
        </w:rPr>
        <w:t xml:space="preserve">                                                                                                                  </w:t>
      </w:r>
      <w:r w:rsidRPr="00FD3F2C">
        <w:rPr>
          <w:rFonts w:ascii="Arial" w:eastAsia="Times New Roman" w:hAnsi="Arial" w:cs="Arial"/>
          <w:color w:val="222222"/>
          <w:sz w:val="24"/>
          <w:szCs w:val="24"/>
          <w:lang w:eastAsia="fr-FR"/>
        </w:rPr>
        <w:t xml:space="preserve"> </w:t>
      </w:r>
      <w:r w:rsidR="00213F2B">
        <w:rPr>
          <w:rFonts w:ascii="Arial" w:eastAsia="Times New Roman" w:hAnsi="Arial" w:cs="Arial"/>
          <w:color w:val="222222"/>
          <w:sz w:val="24"/>
          <w:szCs w:val="24"/>
          <w:lang w:eastAsia="fr-FR"/>
        </w:rPr>
        <w:t>L</w:t>
      </w:r>
      <w:r w:rsidRPr="00FD3F2C">
        <w:rPr>
          <w:rFonts w:ascii="Arial" w:eastAsia="Times New Roman" w:hAnsi="Arial" w:cs="Arial"/>
          <w:color w:val="222222"/>
          <w:sz w:val="24"/>
          <w:szCs w:val="24"/>
          <w:lang w:eastAsia="fr-FR"/>
        </w:rPr>
        <w:t>es assureurs devront informer chaque année leurs assurés de ce droit de résiliation. De plus, ils auront l’obligation d’afficher le coût de l’assurance emprunteur pour huit ans.</w:t>
      </w:r>
    </w:p>
    <w:p w14:paraId="384CE05E" w14:textId="77777777" w:rsidR="00FD3F2C" w:rsidRPr="00FD3F2C" w:rsidRDefault="00FD3F2C" w:rsidP="00FD3F2C">
      <w:pPr>
        <w:shd w:val="clear" w:color="auto" w:fill="FFFFFF"/>
        <w:spacing w:after="100" w:afterAutospacing="1" w:line="240" w:lineRule="auto"/>
        <w:outlineLvl w:val="1"/>
        <w:rPr>
          <w:rFonts w:ascii="Arial" w:eastAsia="Times New Roman" w:hAnsi="Arial" w:cs="Arial"/>
          <w:b/>
          <w:bCs/>
          <w:color w:val="222222"/>
          <w:sz w:val="36"/>
          <w:szCs w:val="36"/>
          <w:lang w:eastAsia="fr-FR"/>
        </w:rPr>
      </w:pPr>
      <w:r w:rsidRPr="00FD3F2C">
        <w:rPr>
          <w:rFonts w:ascii="Arial" w:eastAsia="Times New Roman" w:hAnsi="Arial" w:cs="Arial"/>
          <w:b/>
          <w:bCs/>
          <w:color w:val="222222"/>
          <w:sz w:val="36"/>
          <w:szCs w:val="36"/>
          <w:lang w:eastAsia="fr-FR"/>
        </w:rPr>
        <w:t>Une assurance emprunteur plus accessible pour les malades</w:t>
      </w:r>
    </w:p>
    <w:p w14:paraId="78484EEF" w14:textId="77777777"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La loi traite également du droit à l'oubli pour les anciens malades qui souhaitent contracter un crédit immobilier.</w:t>
      </w:r>
    </w:p>
    <w:p w14:paraId="09093065" w14:textId="77777777"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Jusqu'ici, le dispositif du droit à l'oubli concernait les personnes ayant souffert d'un cancer. Ce droit à l'oubli était fixé à dix ans, sauf pour les cancers survenus avant l'âge de 18 ans pour lesquels le délai était réduit à cinq ans. Pour les malades qui ne relèvent pas du droit à l’oubli, la convention AERAS "s’Assurer et Emprunter avec un Risque Aggravé de Santé" (qui regroupe l’État, les fédérations professionnelles des assurances et des banques, les associations de malades et les consommateurs) met en place une grille de référence dans le but de faciliter l’accès à l’assurance emprunteur pour un certain nombre de pathologies listées.</w:t>
      </w:r>
    </w:p>
    <w:p w14:paraId="496F10B4" w14:textId="7826AB21"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lastRenderedPageBreak/>
        <w:t>L</w:t>
      </w:r>
      <w:r w:rsidRPr="00FD3F2C">
        <w:rPr>
          <w:rFonts w:ascii="Arial" w:eastAsia="Times New Roman" w:hAnsi="Arial" w:cs="Arial"/>
          <w:color w:val="222222"/>
          <w:sz w:val="24"/>
          <w:szCs w:val="24"/>
          <w:lang w:eastAsia="fr-FR"/>
        </w:rPr>
        <w:t>a loi </w:t>
      </w:r>
      <w:r w:rsidRPr="00FD3F2C">
        <w:rPr>
          <w:rFonts w:ascii="Arial" w:eastAsia="Times New Roman" w:hAnsi="Arial" w:cs="Arial"/>
          <w:b/>
          <w:bCs/>
          <w:color w:val="222222"/>
          <w:sz w:val="24"/>
          <w:szCs w:val="24"/>
          <w:lang w:eastAsia="fr-FR"/>
        </w:rPr>
        <w:t>réduit le délai du droit à l'oubli à cinq ans pour toutes les personnes ayant eu</w:t>
      </w:r>
      <w:r w:rsidRPr="00FD3F2C">
        <w:rPr>
          <w:rFonts w:ascii="Arial" w:eastAsia="Times New Roman" w:hAnsi="Arial" w:cs="Arial"/>
          <w:color w:val="222222"/>
          <w:sz w:val="24"/>
          <w:szCs w:val="24"/>
          <w:lang w:eastAsia="fr-FR"/>
        </w:rPr>
        <w:t> </w:t>
      </w:r>
      <w:r w:rsidRPr="00FD3F2C">
        <w:rPr>
          <w:rFonts w:ascii="Arial" w:eastAsia="Times New Roman" w:hAnsi="Arial" w:cs="Arial"/>
          <w:b/>
          <w:bCs/>
          <w:color w:val="222222"/>
          <w:sz w:val="24"/>
          <w:szCs w:val="24"/>
          <w:lang w:eastAsia="fr-FR"/>
        </w:rPr>
        <w:t>un cancer, </w:t>
      </w:r>
      <w:r w:rsidRPr="00FD3F2C">
        <w:rPr>
          <w:rFonts w:ascii="Arial" w:eastAsia="Times New Roman" w:hAnsi="Arial" w:cs="Arial"/>
          <w:color w:val="222222"/>
          <w:sz w:val="24"/>
          <w:szCs w:val="24"/>
          <w:lang w:eastAsia="fr-FR"/>
        </w:rPr>
        <w:t xml:space="preserve">à partir de la fin du protocole thérapeutique. Ce droit à l'oubli au bout </w:t>
      </w:r>
      <w:proofErr w:type="gramStart"/>
      <w:r w:rsidRPr="00FD3F2C">
        <w:rPr>
          <w:rFonts w:ascii="Arial" w:eastAsia="Times New Roman" w:hAnsi="Arial" w:cs="Arial"/>
          <w:color w:val="222222"/>
          <w:sz w:val="24"/>
          <w:szCs w:val="24"/>
          <w:lang w:eastAsia="fr-FR"/>
        </w:rPr>
        <w:t>de</w:t>
      </w:r>
      <w:proofErr w:type="gramEnd"/>
      <w:r w:rsidRPr="00FD3F2C">
        <w:rPr>
          <w:rFonts w:ascii="Arial" w:eastAsia="Times New Roman" w:hAnsi="Arial" w:cs="Arial"/>
          <w:color w:val="222222"/>
          <w:sz w:val="24"/>
          <w:szCs w:val="24"/>
          <w:lang w:eastAsia="fr-FR"/>
        </w:rPr>
        <w:t xml:space="preserve"> cinq ans est étendu à </w:t>
      </w:r>
      <w:r w:rsidRPr="00FD3F2C">
        <w:rPr>
          <w:rFonts w:ascii="Arial" w:eastAsia="Times New Roman" w:hAnsi="Arial" w:cs="Arial"/>
          <w:b/>
          <w:bCs/>
          <w:color w:val="222222"/>
          <w:sz w:val="24"/>
          <w:szCs w:val="24"/>
          <w:lang w:eastAsia="fr-FR"/>
        </w:rPr>
        <w:t>l’hépatite C.</w:t>
      </w:r>
    </w:p>
    <w:p w14:paraId="44E0A015" w14:textId="77777777"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b/>
          <w:bCs/>
          <w:color w:val="222222"/>
          <w:sz w:val="24"/>
          <w:szCs w:val="24"/>
          <w:lang w:eastAsia="fr-FR"/>
        </w:rPr>
        <w:t>Par ailleurs, une feuille de route est fixée aux signataires de la convention AERAS, qui devront engager, dans les trois mois qui suivent la promulgation de la loi, une négociation pour élargir le bénéfice du droit à l'oubli à des maladies chroniques comme le diabète. Si cette négociation n'aboutit pas, un décret déterminera les maladies chroniques</w:t>
      </w:r>
      <w:r w:rsidRPr="00FD3F2C">
        <w:rPr>
          <w:rFonts w:ascii="Arial" w:eastAsia="Times New Roman" w:hAnsi="Arial" w:cs="Arial"/>
          <w:color w:val="222222"/>
          <w:sz w:val="24"/>
          <w:szCs w:val="24"/>
          <w:lang w:eastAsia="fr-FR"/>
        </w:rPr>
        <w:t xml:space="preserve"> auxquelles serait étendu le droit à l’oubli, au plus tard avant fin juillet 2022.</w:t>
      </w:r>
    </w:p>
    <w:p w14:paraId="786A2589" w14:textId="2624B17B"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Enfin, la loi </w:t>
      </w:r>
      <w:r w:rsidRPr="00FD3F2C">
        <w:rPr>
          <w:rFonts w:ascii="Arial" w:eastAsia="Times New Roman" w:hAnsi="Arial" w:cs="Arial"/>
          <w:b/>
          <w:bCs/>
          <w:color w:val="222222"/>
          <w:sz w:val="24"/>
          <w:szCs w:val="24"/>
          <w:lang w:eastAsia="fr-FR"/>
        </w:rPr>
        <w:t>supprime le questionnaire médical</w:t>
      </w:r>
      <w:r w:rsidRPr="00FD3F2C">
        <w:rPr>
          <w:rFonts w:ascii="Arial" w:eastAsia="Times New Roman" w:hAnsi="Arial" w:cs="Arial"/>
          <w:color w:val="222222"/>
          <w:sz w:val="24"/>
          <w:szCs w:val="24"/>
          <w:lang w:eastAsia="fr-FR"/>
        </w:rPr>
        <w:t> </w:t>
      </w:r>
      <w:r w:rsidRPr="00FD3F2C">
        <w:rPr>
          <w:rFonts w:ascii="Arial" w:eastAsia="Times New Roman" w:hAnsi="Arial" w:cs="Arial"/>
          <w:b/>
          <w:bCs/>
          <w:color w:val="222222"/>
          <w:sz w:val="24"/>
          <w:szCs w:val="24"/>
          <w:lang w:eastAsia="fr-FR"/>
        </w:rPr>
        <w:t>pour les</w:t>
      </w:r>
      <w:r w:rsidRPr="00FD3F2C">
        <w:rPr>
          <w:rFonts w:ascii="Arial" w:eastAsia="Times New Roman" w:hAnsi="Arial" w:cs="Arial"/>
          <w:color w:val="222222"/>
          <w:sz w:val="24"/>
          <w:szCs w:val="24"/>
          <w:lang w:eastAsia="fr-FR"/>
        </w:rPr>
        <w:t> </w:t>
      </w:r>
      <w:r w:rsidRPr="00FD3F2C">
        <w:rPr>
          <w:rFonts w:ascii="Arial" w:eastAsia="Times New Roman" w:hAnsi="Arial" w:cs="Arial"/>
          <w:b/>
          <w:bCs/>
          <w:color w:val="222222"/>
          <w:sz w:val="24"/>
          <w:szCs w:val="24"/>
          <w:lang w:eastAsia="fr-FR"/>
        </w:rPr>
        <w:t>prêts immobiliers inférieurs à 200 000 euros et arrivant à échéance avant les 60 ans de l'emprunteur</w:t>
      </w:r>
      <w:r w:rsidRPr="00FD3F2C">
        <w:rPr>
          <w:rFonts w:ascii="Arial" w:eastAsia="Times New Roman" w:hAnsi="Arial" w:cs="Arial"/>
          <w:color w:val="222222"/>
          <w:sz w:val="24"/>
          <w:szCs w:val="24"/>
          <w:lang w:eastAsia="fr-FR"/>
        </w:rPr>
        <w:t xml:space="preserve">. Ce </w:t>
      </w:r>
      <w:proofErr w:type="gramStart"/>
      <w:r w:rsidRPr="00FD3F2C">
        <w:rPr>
          <w:rFonts w:ascii="Arial" w:eastAsia="Times New Roman" w:hAnsi="Arial" w:cs="Arial"/>
          <w:color w:val="222222"/>
          <w:sz w:val="24"/>
          <w:szCs w:val="24"/>
          <w:lang w:eastAsia="fr-FR"/>
        </w:rPr>
        <w:t>plafond s'applique par personne</w:t>
      </w:r>
      <w:proofErr w:type="gramEnd"/>
      <w:r w:rsidRPr="00FD3F2C">
        <w:rPr>
          <w:rFonts w:ascii="Arial" w:eastAsia="Times New Roman" w:hAnsi="Arial" w:cs="Arial"/>
          <w:color w:val="222222"/>
          <w:sz w:val="24"/>
          <w:szCs w:val="24"/>
          <w:lang w:eastAsia="fr-FR"/>
        </w:rPr>
        <w:t>, donc en cas d'emprunt par un couple, il sera de 400 000 euros.  </w:t>
      </w:r>
      <w:r>
        <w:rPr>
          <w:rFonts w:ascii="Arial" w:eastAsia="Times New Roman" w:hAnsi="Arial" w:cs="Arial"/>
          <w:b/>
          <w:bCs/>
          <w:color w:val="222222"/>
          <w:sz w:val="24"/>
          <w:szCs w:val="24"/>
          <w:lang w:eastAsia="fr-FR"/>
        </w:rPr>
        <w:t>C</w:t>
      </w:r>
      <w:r w:rsidRPr="00FD3F2C">
        <w:rPr>
          <w:rFonts w:ascii="Arial" w:eastAsia="Times New Roman" w:hAnsi="Arial" w:cs="Arial"/>
          <w:b/>
          <w:bCs/>
          <w:color w:val="222222"/>
          <w:sz w:val="24"/>
          <w:szCs w:val="24"/>
          <w:lang w:eastAsia="fr-FR"/>
        </w:rPr>
        <w:t>ette mesure entrera en vigueur au 1er juin 2022</w:t>
      </w:r>
      <w:r w:rsidRPr="00FD3F2C">
        <w:rPr>
          <w:rFonts w:ascii="Arial" w:eastAsia="Times New Roman" w:hAnsi="Arial" w:cs="Arial"/>
          <w:color w:val="222222"/>
          <w:sz w:val="24"/>
          <w:szCs w:val="24"/>
          <w:lang w:eastAsia="fr-FR"/>
        </w:rPr>
        <w:t> et le plafond des 200 000 euros s’appliquera "par assuré" et sur "l’encours cumulé des contrats de crédit".</w:t>
      </w:r>
    </w:p>
    <w:p w14:paraId="1B2EE5CB" w14:textId="77777777" w:rsidR="00FD3F2C" w:rsidRPr="00FD3F2C" w:rsidRDefault="00FD3F2C" w:rsidP="00FD3F2C">
      <w:pPr>
        <w:shd w:val="clear" w:color="auto" w:fill="FFFFFF"/>
        <w:spacing w:after="100" w:afterAutospacing="1"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Cette mesure devrait concerner plus de la moitié des crédits immobiliers. Les parlementaires ont prévu qu'un décret pourra fixer des plafonds plus favorables de montant et d'âge.</w:t>
      </w:r>
    </w:p>
    <w:p w14:paraId="71325B4F" w14:textId="77777777" w:rsidR="00FD3F2C" w:rsidRPr="00FD3F2C" w:rsidRDefault="00FD3F2C" w:rsidP="00FD3F2C">
      <w:pPr>
        <w:shd w:val="clear" w:color="auto" w:fill="FFFFFF"/>
        <w:spacing w:after="0" w:line="240" w:lineRule="auto"/>
        <w:rPr>
          <w:rFonts w:ascii="Arial" w:eastAsia="Times New Roman" w:hAnsi="Arial" w:cs="Arial"/>
          <w:color w:val="222222"/>
          <w:sz w:val="24"/>
          <w:szCs w:val="24"/>
          <w:lang w:eastAsia="fr-FR"/>
        </w:rPr>
      </w:pPr>
      <w:r w:rsidRPr="00FD3F2C">
        <w:rPr>
          <w:rFonts w:ascii="Arial" w:eastAsia="Times New Roman" w:hAnsi="Arial" w:cs="Arial"/>
          <w:color w:val="222222"/>
          <w:sz w:val="24"/>
          <w:szCs w:val="24"/>
          <w:lang w:eastAsia="fr-FR"/>
        </w:rPr>
        <w:t>Aujourd'hui, le questionnaire de santé pénalise les malades et les anciens malades qui sont contraints d'emprunter à des tarifs beaucoup plus élevés que les personnes en bonne santé, du fait des surprimes d’assurance attachées à leur crédit immobilier.</w:t>
      </w:r>
    </w:p>
    <w:p w14:paraId="4D5ADFD7" w14:textId="77777777" w:rsidR="00FD3F2C" w:rsidRDefault="00FD3F2C"/>
    <w:sectPr w:rsidR="00FD3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740E"/>
    <w:multiLevelType w:val="multilevel"/>
    <w:tmpl w:val="06D0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0DAA"/>
    <w:multiLevelType w:val="multilevel"/>
    <w:tmpl w:val="C760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17A0C"/>
    <w:multiLevelType w:val="multilevel"/>
    <w:tmpl w:val="F18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C"/>
    <w:rsid w:val="00213F2B"/>
    <w:rsid w:val="00FD3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34E"/>
  <w15:chartTrackingRefBased/>
  <w15:docId w15:val="{7F152A70-530A-45F7-BAAF-1C5CC66E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0489">
      <w:bodyDiv w:val="1"/>
      <w:marLeft w:val="0"/>
      <w:marRight w:val="0"/>
      <w:marTop w:val="0"/>
      <w:marBottom w:val="0"/>
      <w:divBdr>
        <w:top w:val="none" w:sz="0" w:space="0" w:color="auto"/>
        <w:left w:val="none" w:sz="0" w:space="0" w:color="auto"/>
        <w:bottom w:val="none" w:sz="0" w:space="0" w:color="auto"/>
        <w:right w:val="none" w:sz="0" w:space="0" w:color="auto"/>
      </w:divBdr>
      <w:divsChild>
        <w:div w:id="464080816">
          <w:marLeft w:val="0"/>
          <w:marRight w:val="0"/>
          <w:marTop w:val="0"/>
          <w:marBottom w:val="0"/>
          <w:divBdr>
            <w:top w:val="none" w:sz="0" w:space="0" w:color="auto"/>
            <w:left w:val="none" w:sz="0" w:space="0" w:color="auto"/>
            <w:bottom w:val="none" w:sz="0" w:space="0" w:color="auto"/>
            <w:right w:val="none" w:sz="0" w:space="0" w:color="auto"/>
          </w:divBdr>
        </w:div>
        <w:div w:id="1514683372">
          <w:marLeft w:val="0"/>
          <w:marRight w:val="0"/>
          <w:marTop w:val="0"/>
          <w:marBottom w:val="0"/>
          <w:divBdr>
            <w:top w:val="none" w:sz="0" w:space="0" w:color="auto"/>
            <w:left w:val="none" w:sz="0" w:space="0" w:color="auto"/>
            <w:bottom w:val="none" w:sz="0" w:space="0" w:color="auto"/>
            <w:right w:val="none" w:sz="0" w:space="0" w:color="auto"/>
          </w:divBdr>
          <w:divsChild>
            <w:div w:id="1204564467">
              <w:marLeft w:val="0"/>
              <w:marRight w:val="0"/>
              <w:marTop w:val="0"/>
              <w:marBottom w:val="0"/>
              <w:divBdr>
                <w:top w:val="none" w:sz="0" w:space="0" w:color="auto"/>
                <w:left w:val="none" w:sz="0" w:space="0" w:color="auto"/>
                <w:bottom w:val="none" w:sz="0" w:space="0" w:color="auto"/>
                <w:right w:val="none" w:sz="0" w:space="0" w:color="auto"/>
              </w:divBdr>
              <w:divsChild>
                <w:div w:id="646278270">
                  <w:marLeft w:val="0"/>
                  <w:marRight w:val="0"/>
                  <w:marTop w:val="0"/>
                  <w:marBottom w:val="0"/>
                  <w:divBdr>
                    <w:top w:val="none" w:sz="0" w:space="0" w:color="auto"/>
                    <w:left w:val="none" w:sz="0" w:space="0" w:color="auto"/>
                    <w:bottom w:val="none" w:sz="0" w:space="0" w:color="auto"/>
                    <w:right w:val="none" w:sz="0" w:space="0" w:color="auto"/>
                  </w:divBdr>
                </w:div>
              </w:divsChild>
            </w:div>
            <w:div w:id="1154569371">
              <w:marLeft w:val="0"/>
              <w:marRight w:val="0"/>
              <w:marTop w:val="0"/>
              <w:marBottom w:val="0"/>
              <w:divBdr>
                <w:top w:val="none" w:sz="0" w:space="0" w:color="auto"/>
                <w:left w:val="none" w:sz="0" w:space="0" w:color="auto"/>
                <w:bottom w:val="none" w:sz="0" w:space="0" w:color="auto"/>
                <w:right w:val="none" w:sz="0" w:space="0" w:color="auto"/>
              </w:divBdr>
            </w:div>
            <w:div w:id="2079211503">
              <w:marLeft w:val="0"/>
              <w:marRight w:val="0"/>
              <w:marTop w:val="0"/>
              <w:marBottom w:val="0"/>
              <w:divBdr>
                <w:top w:val="none" w:sz="0" w:space="0" w:color="auto"/>
                <w:left w:val="none" w:sz="0" w:space="0" w:color="auto"/>
                <w:bottom w:val="none" w:sz="0" w:space="0" w:color="auto"/>
                <w:right w:val="none" w:sz="0" w:space="0" w:color="auto"/>
              </w:divBdr>
              <w:divsChild>
                <w:div w:id="984548219">
                  <w:marLeft w:val="0"/>
                  <w:marRight w:val="0"/>
                  <w:marTop w:val="0"/>
                  <w:marBottom w:val="0"/>
                  <w:divBdr>
                    <w:top w:val="none" w:sz="0" w:space="0" w:color="auto"/>
                    <w:left w:val="none" w:sz="0" w:space="0" w:color="auto"/>
                    <w:bottom w:val="none" w:sz="0" w:space="0" w:color="auto"/>
                    <w:right w:val="none" w:sz="0" w:space="0" w:color="auto"/>
                  </w:divBdr>
                  <w:divsChild>
                    <w:div w:id="17981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6830">
          <w:marLeft w:val="0"/>
          <w:marRight w:val="0"/>
          <w:marTop w:val="0"/>
          <w:marBottom w:val="0"/>
          <w:divBdr>
            <w:top w:val="none" w:sz="0" w:space="0" w:color="auto"/>
            <w:left w:val="none" w:sz="0" w:space="0" w:color="auto"/>
            <w:bottom w:val="none" w:sz="0" w:space="0" w:color="auto"/>
            <w:right w:val="none" w:sz="0" w:space="0" w:color="auto"/>
          </w:divBdr>
        </w:div>
        <w:div w:id="1861625978">
          <w:marLeft w:val="0"/>
          <w:marRight w:val="0"/>
          <w:marTop w:val="0"/>
          <w:marBottom w:val="0"/>
          <w:divBdr>
            <w:top w:val="none" w:sz="0" w:space="0" w:color="auto"/>
            <w:left w:val="none" w:sz="0" w:space="0" w:color="auto"/>
            <w:bottom w:val="none" w:sz="0" w:space="0" w:color="auto"/>
            <w:right w:val="none" w:sz="0" w:space="0" w:color="auto"/>
          </w:divBdr>
          <w:divsChild>
            <w:div w:id="1043167360">
              <w:marLeft w:val="0"/>
              <w:marRight w:val="0"/>
              <w:marTop w:val="0"/>
              <w:marBottom w:val="0"/>
              <w:divBdr>
                <w:top w:val="none" w:sz="0" w:space="0" w:color="auto"/>
                <w:left w:val="none" w:sz="0" w:space="0" w:color="auto"/>
                <w:bottom w:val="none" w:sz="0" w:space="0" w:color="auto"/>
                <w:right w:val="none" w:sz="0" w:space="0" w:color="auto"/>
              </w:divBdr>
              <w:divsChild>
                <w:div w:id="1624847988">
                  <w:marLeft w:val="0"/>
                  <w:marRight w:val="0"/>
                  <w:marTop w:val="0"/>
                  <w:marBottom w:val="0"/>
                  <w:divBdr>
                    <w:top w:val="none" w:sz="0" w:space="0" w:color="auto"/>
                    <w:left w:val="none" w:sz="0" w:space="0" w:color="auto"/>
                    <w:bottom w:val="none" w:sz="0" w:space="0" w:color="auto"/>
                    <w:right w:val="none" w:sz="0" w:space="0" w:color="auto"/>
                  </w:divBdr>
                </w:div>
                <w:div w:id="893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1068">
          <w:marLeft w:val="0"/>
          <w:marRight w:val="0"/>
          <w:marTop w:val="0"/>
          <w:marBottom w:val="0"/>
          <w:divBdr>
            <w:top w:val="none" w:sz="0" w:space="0" w:color="auto"/>
            <w:left w:val="none" w:sz="0" w:space="0" w:color="auto"/>
            <w:bottom w:val="none" w:sz="0" w:space="0" w:color="auto"/>
            <w:right w:val="none" w:sz="0" w:space="0" w:color="auto"/>
          </w:divBdr>
          <w:divsChild>
            <w:div w:id="730079773">
              <w:marLeft w:val="0"/>
              <w:marRight w:val="0"/>
              <w:marTop w:val="0"/>
              <w:marBottom w:val="0"/>
              <w:divBdr>
                <w:top w:val="none" w:sz="0" w:space="0" w:color="auto"/>
                <w:left w:val="none" w:sz="0" w:space="0" w:color="auto"/>
                <w:bottom w:val="none" w:sz="0" w:space="0" w:color="auto"/>
                <w:right w:val="none" w:sz="0" w:space="0" w:color="auto"/>
              </w:divBdr>
              <w:divsChild>
                <w:div w:id="695539274">
                  <w:marLeft w:val="0"/>
                  <w:marRight w:val="0"/>
                  <w:marTop w:val="0"/>
                  <w:marBottom w:val="0"/>
                  <w:divBdr>
                    <w:top w:val="none" w:sz="0" w:space="0" w:color="auto"/>
                    <w:left w:val="none" w:sz="0" w:space="0" w:color="auto"/>
                    <w:bottom w:val="none" w:sz="0" w:space="0" w:color="auto"/>
                    <w:right w:val="none" w:sz="0" w:space="0" w:color="auto"/>
                  </w:divBdr>
                  <w:divsChild>
                    <w:div w:id="2017344457">
                      <w:marLeft w:val="0"/>
                      <w:marRight w:val="0"/>
                      <w:marTop w:val="0"/>
                      <w:marBottom w:val="0"/>
                      <w:divBdr>
                        <w:top w:val="none" w:sz="0" w:space="0" w:color="auto"/>
                        <w:left w:val="none" w:sz="0" w:space="0" w:color="auto"/>
                        <w:bottom w:val="none" w:sz="0" w:space="0" w:color="auto"/>
                        <w:right w:val="none" w:sz="0" w:space="0" w:color="auto"/>
                      </w:divBdr>
                    </w:div>
                    <w:div w:id="1071005545">
                      <w:marLeft w:val="0"/>
                      <w:marRight w:val="0"/>
                      <w:marTop w:val="0"/>
                      <w:marBottom w:val="0"/>
                      <w:divBdr>
                        <w:top w:val="none" w:sz="0" w:space="0" w:color="auto"/>
                        <w:left w:val="none" w:sz="0" w:space="0" w:color="auto"/>
                        <w:bottom w:val="none" w:sz="0" w:space="0" w:color="auto"/>
                        <w:right w:val="none" w:sz="0" w:space="0" w:color="auto"/>
                      </w:divBdr>
                      <w:divsChild>
                        <w:div w:id="580987813">
                          <w:marLeft w:val="0"/>
                          <w:marRight w:val="0"/>
                          <w:marTop w:val="0"/>
                          <w:marBottom w:val="0"/>
                          <w:divBdr>
                            <w:top w:val="none" w:sz="0" w:space="0" w:color="auto"/>
                            <w:left w:val="none" w:sz="0" w:space="0" w:color="auto"/>
                            <w:bottom w:val="none" w:sz="0" w:space="0" w:color="auto"/>
                            <w:right w:val="none" w:sz="0" w:space="0" w:color="auto"/>
                          </w:divBdr>
                        </w:div>
                        <w:div w:id="1807353789">
                          <w:marLeft w:val="0"/>
                          <w:marRight w:val="0"/>
                          <w:marTop w:val="0"/>
                          <w:marBottom w:val="0"/>
                          <w:divBdr>
                            <w:top w:val="none" w:sz="0" w:space="0" w:color="auto"/>
                            <w:left w:val="none" w:sz="0" w:space="0" w:color="auto"/>
                            <w:bottom w:val="none" w:sz="0" w:space="0" w:color="auto"/>
                            <w:right w:val="none" w:sz="0" w:space="0" w:color="auto"/>
                          </w:divBdr>
                        </w:div>
                        <w:div w:id="16995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publique.fr/loi/282601-loi-28-fevrier-2022-lemoine-assurance-emprunteur-credit-immobilier" TargetMode="External"/><Relationship Id="rId5" Type="http://schemas.openxmlformats.org/officeDocument/2006/relationships/hyperlink" Target="https://www.vie-publique.fr/loi/282601-loi-28-fevrier-2022-lemoine-assurance-emprunteur-credit-immobili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3068</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2</cp:revision>
  <dcterms:created xsi:type="dcterms:W3CDTF">2022-05-16T15:21:00Z</dcterms:created>
  <dcterms:modified xsi:type="dcterms:W3CDTF">2022-05-16T15:29:00Z</dcterms:modified>
</cp:coreProperties>
</file>