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9BA" w:rsidRPr="007069BA" w:rsidRDefault="007069BA" w:rsidP="00A03EF2">
      <w:pPr>
        <w:spacing w:beforeAutospacing="1" w:after="0" w:line="240" w:lineRule="auto"/>
        <w:ind w:left="30"/>
        <w:textAlignment w:val="top"/>
        <w:rPr>
          <w:rFonts w:ascii="&amp;quot" w:eastAsia="Times New Roman" w:hAnsi="&amp;quot" w:cs="Times New Roman"/>
          <w:color w:val="414856"/>
          <w:sz w:val="21"/>
          <w:szCs w:val="21"/>
          <w:lang w:eastAsia="fr-FR"/>
        </w:rPr>
      </w:pPr>
    </w:p>
    <w:p w:rsidR="007069BA" w:rsidRDefault="007069BA" w:rsidP="00A03EF2">
      <w:pPr>
        <w:spacing w:before="72" w:after="48" w:line="240" w:lineRule="auto"/>
        <w:jc w:val="center"/>
        <w:outlineLvl w:val="0"/>
        <w:rPr>
          <w:rFonts w:ascii="&amp;quot" w:eastAsia="Times New Roman" w:hAnsi="&amp;quot" w:cs="Times New Roman"/>
          <w:b/>
          <w:bCs/>
          <w:kern w:val="36"/>
          <w:sz w:val="54"/>
          <w:szCs w:val="54"/>
          <w:lang w:eastAsia="fr-FR"/>
        </w:rPr>
      </w:pPr>
      <w:r w:rsidRPr="007069BA">
        <w:rPr>
          <w:rFonts w:ascii="&amp;quot" w:eastAsia="Times New Roman" w:hAnsi="&amp;quot" w:cs="Times New Roman"/>
          <w:b/>
          <w:bCs/>
          <w:kern w:val="36"/>
          <w:sz w:val="54"/>
          <w:szCs w:val="54"/>
          <w:lang w:eastAsia="fr-FR"/>
        </w:rPr>
        <w:t>Complémentaire santé s</w:t>
      </w:r>
      <w:r w:rsidRPr="004A5CB8">
        <w:rPr>
          <w:rFonts w:ascii="&amp;quot" w:eastAsia="Times New Roman" w:hAnsi="&amp;quot" w:cs="Times New Roman"/>
          <w:b/>
          <w:bCs/>
          <w:kern w:val="36"/>
          <w:sz w:val="54"/>
          <w:szCs w:val="54"/>
          <w:lang w:eastAsia="fr-FR"/>
        </w:rPr>
        <w:t>olidaire depuis le</w:t>
      </w:r>
      <w:r w:rsidRPr="007069BA">
        <w:rPr>
          <w:rFonts w:ascii="&amp;quot" w:eastAsia="Times New Roman" w:hAnsi="&amp;quot" w:cs="Times New Roman"/>
          <w:b/>
          <w:bCs/>
          <w:kern w:val="36"/>
          <w:sz w:val="54"/>
          <w:szCs w:val="54"/>
          <w:lang w:eastAsia="fr-FR"/>
        </w:rPr>
        <w:t xml:space="preserve"> 1er novembre 2019</w:t>
      </w:r>
    </w:p>
    <w:p w:rsidR="00A03EF2" w:rsidRPr="007069BA" w:rsidRDefault="00A03EF2" w:rsidP="00A03EF2">
      <w:pPr>
        <w:spacing w:before="72" w:after="48" w:line="240" w:lineRule="auto"/>
        <w:jc w:val="center"/>
        <w:outlineLvl w:val="0"/>
        <w:rPr>
          <w:rFonts w:ascii="&amp;quot" w:eastAsia="Times New Roman" w:hAnsi="&amp;quot" w:cs="Times New Roman"/>
          <w:b/>
          <w:bCs/>
          <w:kern w:val="36"/>
          <w:sz w:val="54"/>
          <w:szCs w:val="54"/>
          <w:lang w:eastAsia="fr-FR"/>
        </w:rPr>
      </w:pPr>
    </w:p>
    <w:p w:rsidR="007069BA" w:rsidRDefault="007069BA" w:rsidP="007069BA">
      <w:pPr>
        <w:spacing w:after="240" w:line="240" w:lineRule="auto"/>
        <w:rPr>
          <w:rFonts w:ascii="&amp;quot" w:eastAsia="Times New Roman" w:hAnsi="&amp;quot" w:cs="Times New Roman"/>
          <w:color w:val="414856"/>
          <w:sz w:val="24"/>
          <w:szCs w:val="24"/>
          <w:lang w:eastAsia="fr-FR"/>
        </w:rPr>
      </w:pPr>
      <w:r w:rsidRPr="004A5CB8">
        <w:rPr>
          <w:rFonts w:ascii="&amp;quot" w:eastAsia="Times New Roman" w:hAnsi="&amp;quot" w:cs="Times New Roman"/>
          <w:b/>
          <w:bCs/>
          <w:sz w:val="24"/>
          <w:szCs w:val="24"/>
          <w:lang w:eastAsia="fr-FR"/>
        </w:rPr>
        <w:t>Depuis le</w:t>
      </w:r>
      <w:r w:rsidRPr="007069BA">
        <w:rPr>
          <w:rFonts w:ascii="&amp;quot" w:eastAsia="Times New Roman" w:hAnsi="&amp;quot" w:cs="Times New Roman"/>
          <w:b/>
          <w:bCs/>
          <w:sz w:val="24"/>
          <w:szCs w:val="24"/>
          <w:lang w:eastAsia="fr-FR"/>
        </w:rPr>
        <w:t xml:space="preserve"> 1</w:t>
      </w:r>
      <w:r w:rsidRPr="007069BA">
        <w:rPr>
          <w:rFonts w:ascii="&amp;quot" w:eastAsia="Times New Roman" w:hAnsi="&amp;quot" w:cs="Times New Roman"/>
          <w:b/>
          <w:bCs/>
          <w:sz w:val="18"/>
          <w:szCs w:val="18"/>
          <w:vertAlign w:val="superscript"/>
          <w:lang w:eastAsia="fr-FR"/>
        </w:rPr>
        <w:t>er</w:t>
      </w:r>
      <w:r w:rsidRPr="007069BA">
        <w:rPr>
          <w:rFonts w:ascii="&amp;quot" w:eastAsia="Times New Roman" w:hAnsi="&amp;quot" w:cs="Times New Roman"/>
          <w:b/>
          <w:bCs/>
          <w:sz w:val="24"/>
          <w:szCs w:val="24"/>
          <w:lang w:eastAsia="fr-FR"/>
        </w:rPr>
        <w:t xml:space="preserve"> novembre 2019, la « </w:t>
      </w:r>
      <w:r w:rsidRPr="007069BA">
        <w:rPr>
          <w:rFonts w:ascii="&amp;quot" w:eastAsia="Times New Roman" w:hAnsi="&amp;quot" w:cs="Times New Roman"/>
          <w:b/>
          <w:bCs/>
          <w:i/>
          <w:iCs/>
          <w:sz w:val="24"/>
          <w:szCs w:val="24"/>
          <w:lang w:eastAsia="fr-FR"/>
        </w:rPr>
        <w:t>Complémentaire</w:t>
      </w:r>
      <w:r w:rsidRPr="007069BA">
        <w:rPr>
          <w:rFonts w:ascii="&amp;quot" w:eastAsia="Times New Roman" w:hAnsi="&amp;quot" w:cs="Times New Roman"/>
          <w:i/>
          <w:iCs/>
          <w:sz w:val="24"/>
          <w:szCs w:val="24"/>
          <w:lang w:eastAsia="fr-FR"/>
        </w:rPr>
        <w:t xml:space="preserve"> </w:t>
      </w:r>
      <w:r w:rsidRPr="007069BA">
        <w:rPr>
          <w:rFonts w:ascii="&amp;quot" w:eastAsia="Times New Roman" w:hAnsi="&amp;quot" w:cs="Times New Roman"/>
          <w:b/>
          <w:bCs/>
          <w:i/>
          <w:iCs/>
          <w:sz w:val="24"/>
          <w:szCs w:val="24"/>
          <w:lang w:eastAsia="fr-FR"/>
        </w:rPr>
        <w:t xml:space="preserve">santé </w:t>
      </w:r>
      <w:r w:rsidRPr="007069BA">
        <w:rPr>
          <w:rFonts w:ascii="&amp;quot" w:eastAsia="Times New Roman" w:hAnsi="&amp;quot" w:cs="Times New Roman"/>
          <w:b/>
          <w:bCs/>
          <w:i/>
          <w:iCs/>
          <w:color w:val="414856"/>
          <w:sz w:val="24"/>
          <w:szCs w:val="24"/>
          <w:lang w:eastAsia="fr-FR"/>
        </w:rPr>
        <w:t>solidaire</w:t>
      </w:r>
      <w:r w:rsidRPr="007069BA">
        <w:rPr>
          <w:rFonts w:ascii="&amp;quot" w:eastAsia="Times New Roman" w:hAnsi="&amp;quot" w:cs="Times New Roman"/>
          <w:color w:val="414856"/>
          <w:sz w:val="24"/>
          <w:szCs w:val="24"/>
          <w:lang w:eastAsia="fr-FR"/>
        </w:rPr>
        <w:t xml:space="preserve"> »</w:t>
      </w:r>
      <w:r>
        <w:rPr>
          <w:rFonts w:ascii="&amp;quot" w:eastAsia="Times New Roman" w:hAnsi="&amp;quot" w:cs="Times New Roman"/>
          <w:color w:val="414856"/>
          <w:sz w:val="24"/>
          <w:szCs w:val="24"/>
          <w:lang w:eastAsia="fr-FR"/>
        </w:rPr>
        <w:t>(CSS) remplace l’aide au paiement d’une complémentaire santé (ACS) et la Couverture maladie universelle complémentaire (CMU-C).</w:t>
      </w:r>
    </w:p>
    <w:p w:rsidR="007069BA" w:rsidRPr="007069BA" w:rsidRDefault="007069BA" w:rsidP="007069BA">
      <w:pPr>
        <w:spacing w:after="240" w:line="240" w:lineRule="auto"/>
        <w:rPr>
          <w:rFonts w:ascii="&amp;quot" w:eastAsia="Times New Roman" w:hAnsi="&amp;quot" w:cs="Times New Roman"/>
          <w:color w:val="414856"/>
          <w:sz w:val="24"/>
          <w:szCs w:val="24"/>
          <w:lang w:eastAsia="fr-FR"/>
        </w:rPr>
      </w:pPr>
      <w:r>
        <w:rPr>
          <w:rFonts w:ascii="&amp;quot" w:eastAsia="Times New Roman" w:hAnsi="&amp;quot" w:cs="Times New Roman"/>
          <w:color w:val="414856"/>
          <w:sz w:val="24"/>
          <w:szCs w:val="24"/>
          <w:lang w:eastAsia="fr-FR"/>
        </w:rPr>
        <w:t>La CSS est soumise aux mêmes conditions de ressources que l’ACS. Les titulaires de l’AAH à taux plein peuvent en bénéficier, même s’ils perçoivent la majoration pour la vie autonome</w:t>
      </w:r>
      <w:r w:rsidR="004A5CB8">
        <w:rPr>
          <w:rFonts w:ascii="&amp;quot" w:eastAsia="Times New Roman" w:hAnsi="&amp;quot" w:cs="Times New Roman"/>
          <w:color w:val="414856"/>
          <w:sz w:val="24"/>
          <w:szCs w:val="24"/>
          <w:lang w:eastAsia="fr-FR"/>
        </w:rPr>
        <w:t xml:space="preserve"> </w:t>
      </w:r>
      <w:r>
        <w:rPr>
          <w:rFonts w:ascii="&amp;quot" w:eastAsia="Times New Roman" w:hAnsi="&amp;quot" w:cs="Times New Roman"/>
          <w:color w:val="414856"/>
          <w:sz w:val="24"/>
          <w:szCs w:val="24"/>
          <w:lang w:eastAsia="fr-FR"/>
        </w:rPr>
        <w:t>(MVA de 104€) mais pas avec le complément de ressources (CR de 179€)</w:t>
      </w:r>
    </w:p>
    <w:p w:rsidR="001150EE" w:rsidRPr="007069BA" w:rsidRDefault="007069BA" w:rsidP="001150EE">
      <w:pPr>
        <w:spacing w:after="240" w:line="240" w:lineRule="auto"/>
        <w:rPr>
          <w:rFonts w:ascii="&amp;quot" w:eastAsia="Times New Roman" w:hAnsi="&amp;quot" w:cs="Times New Roman"/>
          <w:color w:val="414856"/>
          <w:sz w:val="24"/>
          <w:szCs w:val="24"/>
          <w:lang w:eastAsia="fr-FR"/>
        </w:rPr>
      </w:pPr>
      <w:r>
        <w:rPr>
          <w:rFonts w:ascii="&amp;quot" w:eastAsia="Times New Roman" w:hAnsi="&amp;quot" w:cs="Times New Roman"/>
          <w:color w:val="414856"/>
          <w:sz w:val="24"/>
          <w:szCs w:val="24"/>
          <w:lang w:eastAsia="fr-FR"/>
        </w:rPr>
        <w:t>Si les ressources sont su</w:t>
      </w:r>
      <w:r w:rsidR="001150EE">
        <w:rPr>
          <w:rFonts w:ascii="&amp;quot" w:eastAsia="Times New Roman" w:hAnsi="&amp;quot" w:cs="Times New Roman"/>
          <w:color w:val="414856"/>
          <w:sz w:val="24"/>
          <w:szCs w:val="24"/>
          <w:lang w:eastAsia="fr-FR"/>
        </w:rPr>
        <w:t>périeures au plafond de celles retenues pour la CMU-C (ex titulaires de l’AAH) il faut  régler une contribution financière. Le montant mensuel de celle-ci varie en fonction de l’âge (de 8 € à 30€) Voir le tableau sur le site service-public.fr</w:t>
      </w:r>
      <w:r w:rsidR="004A5CB8">
        <w:rPr>
          <w:rFonts w:ascii="&amp;quot" w:eastAsia="Times New Roman" w:hAnsi="&amp;quot" w:cs="Times New Roman"/>
          <w:color w:val="414856"/>
          <w:sz w:val="24"/>
          <w:szCs w:val="24"/>
          <w:lang w:eastAsia="fr-FR"/>
        </w:rPr>
        <w:t xml:space="preserve"> </w:t>
      </w:r>
      <w:r w:rsidR="001150EE">
        <w:rPr>
          <w:rFonts w:ascii="&amp;quot" w:eastAsia="Times New Roman" w:hAnsi="&amp;quot" w:cs="Times New Roman"/>
          <w:color w:val="414856"/>
          <w:sz w:val="24"/>
          <w:szCs w:val="24"/>
          <w:lang w:eastAsia="fr-FR"/>
        </w:rPr>
        <w:t xml:space="preserve">  Complémentaire santé solidaire.</w:t>
      </w:r>
    </w:p>
    <w:p w:rsidR="007069BA" w:rsidRPr="007069BA" w:rsidRDefault="007069BA" w:rsidP="007069BA">
      <w:pPr>
        <w:spacing w:after="240" w:line="240" w:lineRule="auto"/>
        <w:rPr>
          <w:rFonts w:ascii="&amp;quot" w:eastAsia="Times New Roman" w:hAnsi="&amp;quot" w:cs="Times New Roman"/>
          <w:color w:val="414856"/>
          <w:sz w:val="24"/>
          <w:szCs w:val="24"/>
          <w:lang w:eastAsia="fr-FR"/>
        </w:rPr>
      </w:pPr>
      <w:r w:rsidRPr="007069BA">
        <w:rPr>
          <w:rFonts w:ascii="&amp;quot" w:eastAsia="Times New Roman" w:hAnsi="&amp;quot" w:cs="Times New Roman"/>
          <w:color w:val="414856"/>
          <w:sz w:val="24"/>
          <w:szCs w:val="24"/>
          <w:lang w:eastAsia="fr-FR"/>
        </w:rPr>
        <w:t xml:space="preserve"> </w:t>
      </w:r>
      <w:hyperlink r:id="rId5" w:tgtFrame="_blank" w:tooltip="un simulateur permettant de savoir si on a  droit à la Complémentaire santé solidaire - www.ameli.fr - Nouvelle fenêtre" w:history="1">
        <w:r w:rsidR="001150EE" w:rsidRPr="00A03EF2">
          <w:rPr>
            <w:rFonts w:ascii="&amp;quot" w:eastAsia="Times New Roman" w:hAnsi="&amp;quot" w:cs="Times New Roman"/>
            <w:b/>
            <w:color w:val="414856"/>
            <w:sz w:val="24"/>
            <w:szCs w:val="24"/>
            <w:lang w:eastAsia="fr-FR"/>
          </w:rPr>
          <w:t>Un</w:t>
        </w:r>
        <w:r w:rsidRPr="00A03EF2">
          <w:rPr>
            <w:rFonts w:ascii="&amp;quot" w:eastAsia="Times New Roman" w:hAnsi="&amp;quot" w:cs="Times New Roman"/>
            <w:b/>
            <w:color w:val="414856"/>
            <w:sz w:val="24"/>
            <w:szCs w:val="24"/>
            <w:lang w:eastAsia="fr-FR"/>
          </w:rPr>
          <w:t xml:space="preserve"> simulateur permet de savoir si on a droit à la Complémentaire santé solidaire</w:t>
        </w:r>
      </w:hyperlink>
      <w:r w:rsidRPr="007069BA">
        <w:rPr>
          <w:rFonts w:ascii="&amp;quot" w:eastAsia="Times New Roman" w:hAnsi="&amp;quot" w:cs="Times New Roman"/>
          <w:color w:val="414856"/>
          <w:sz w:val="24"/>
          <w:szCs w:val="24"/>
          <w:lang w:eastAsia="fr-FR"/>
        </w:rPr>
        <w:t xml:space="preserve"> . En cas de réponse positive, pour toute demande, il est nécessaire de choisir un </w:t>
      </w:r>
      <w:hyperlink r:id="rId6" w:tgtFrame="_blank" w:tooltip="organisme gestionnaire - www.complementaire-sante-solidaire.gouv.fr - Nouvelle fenêtre" w:history="1">
        <w:r w:rsidRPr="00A03EF2">
          <w:rPr>
            <w:rFonts w:ascii="&amp;quot" w:eastAsia="Times New Roman" w:hAnsi="&amp;quot" w:cs="Times New Roman"/>
            <w:b/>
            <w:color w:val="414856"/>
            <w:sz w:val="24"/>
            <w:szCs w:val="24"/>
            <w:lang w:eastAsia="fr-FR"/>
          </w:rPr>
          <w:t>organisme gestionnaire</w:t>
        </w:r>
      </w:hyperlink>
      <w:r w:rsidRPr="007069BA">
        <w:rPr>
          <w:rFonts w:ascii="&amp;quot" w:eastAsia="Times New Roman" w:hAnsi="&amp;quot" w:cs="Times New Roman"/>
          <w:color w:val="414856"/>
          <w:sz w:val="24"/>
          <w:szCs w:val="24"/>
          <w:lang w:eastAsia="fr-FR"/>
        </w:rPr>
        <w:t xml:space="preserve"> (caisse d'assurance maladie, mutuelle...).</w:t>
      </w:r>
    </w:p>
    <w:p w:rsidR="007069BA" w:rsidRPr="007069BA" w:rsidRDefault="007069BA" w:rsidP="007069BA">
      <w:pPr>
        <w:spacing w:line="240" w:lineRule="auto"/>
        <w:rPr>
          <w:rFonts w:ascii="&amp;quot" w:eastAsia="Times New Roman" w:hAnsi="&amp;quot" w:cs="Times New Roman"/>
          <w:color w:val="414856"/>
          <w:sz w:val="24"/>
          <w:szCs w:val="24"/>
          <w:lang w:eastAsia="fr-FR"/>
        </w:rPr>
      </w:pPr>
      <w:r w:rsidRPr="007069BA">
        <w:rPr>
          <w:rFonts w:ascii="&amp;quot" w:eastAsia="Times New Roman" w:hAnsi="&amp;quot" w:cs="Times New Roman"/>
          <w:color w:val="414856"/>
          <w:sz w:val="24"/>
          <w:szCs w:val="24"/>
          <w:lang w:eastAsia="fr-FR"/>
        </w:rPr>
        <w:t> </w:t>
      </w:r>
      <w:r w:rsidRPr="00A03EF2">
        <w:rPr>
          <w:rFonts w:ascii="&amp;quot" w:eastAsia="Times New Roman" w:hAnsi="&amp;quot" w:cs="Times New Roman"/>
          <w:b/>
          <w:bCs/>
          <w:sz w:val="24"/>
          <w:szCs w:val="24"/>
          <w:lang w:eastAsia="fr-FR"/>
        </w:rPr>
        <w:t>À noter : </w:t>
      </w:r>
      <w:r w:rsidRPr="007069BA">
        <w:rPr>
          <w:rFonts w:ascii="&amp;quot" w:eastAsia="Times New Roman" w:hAnsi="&amp;quot" w:cs="Times New Roman"/>
          <w:color w:val="414856"/>
          <w:sz w:val="24"/>
          <w:szCs w:val="24"/>
          <w:lang w:eastAsia="fr-FR"/>
        </w:rPr>
        <w:t>Ce nouveau dispositif ne change rien pour les actuels bénéficiaires de la CMU-C, leurs droits restant les mêmes.</w:t>
      </w:r>
    </w:p>
    <w:p w:rsidR="007069BA" w:rsidRPr="007069BA" w:rsidRDefault="007069BA" w:rsidP="007069BA">
      <w:pPr>
        <w:spacing w:after="0" w:line="240" w:lineRule="auto"/>
        <w:outlineLvl w:val="1"/>
        <w:rPr>
          <w:rFonts w:ascii="&amp;quot" w:eastAsia="Times New Roman" w:hAnsi="&amp;quot" w:cs="Times New Roman"/>
          <w:color w:val="000000" w:themeColor="text1"/>
          <w:sz w:val="34"/>
          <w:szCs w:val="34"/>
          <w:lang w:eastAsia="fr-FR"/>
        </w:rPr>
      </w:pPr>
      <w:r w:rsidRPr="007069BA">
        <w:rPr>
          <w:rFonts w:ascii="&amp;quot" w:eastAsia="Times New Roman" w:hAnsi="&amp;quot" w:cs="Times New Roman"/>
          <w:color w:val="000000" w:themeColor="text1"/>
          <w:sz w:val="34"/>
          <w:szCs w:val="34"/>
          <w:lang w:eastAsia="fr-FR"/>
        </w:rPr>
        <w:t>Textes de référence</w:t>
      </w:r>
      <w:r w:rsidR="00A03EF2">
        <w:rPr>
          <w:rFonts w:ascii="&amp;quot" w:eastAsia="Times New Roman" w:hAnsi="&amp;quot" w:cs="Times New Roman"/>
          <w:color w:val="000000" w:themeColor="text1"/>
          <w:sz w:val="34"/>
          <w:szCs w:val="34"/>
          <w:lang w:eastAsia="fr-FR"/>
        </w:rPr>
        <w:t xml:space="preserve"> : </w:t>
      </w:r>
    </w:p>
    <w:p w:rsidR="007069BA" w:rsidRPr="00A03EF2" w:rsidRDefault="00A03EF2" w:rsidP="007069BA">
      <w:pPr>
        <w:numPr>
          <w:ilvl w:val="0"/>
          <w:numId w:val="3"/>
        </w:numPr>
        <w:spacing w:after="0" w:line="240" w:lineRule="auto"/>
        <w:rPr>
          <w:rFonts w:ascii="Times New Roman" w:eastAsia="Times New Roman" w:hAnsi="Times New Roman" w:cs="Times New Roman"/>
          <w:sz w:val="24"/>
          <w:szCs w:val="24"/>
          <w:lang w:eastAsia="fr-FR"/>
        </w:rPr>
      </w:pPr>
      <w:hyperlink r:id="rId7" w:tgtFrame="_blank" w:tooltip="Décret du 21 juin 2019 relatif à la protection complémentaire en matière de santé prévue à l'article L. 861-1 du code de la sécurité sociale - www.legifrance.gouv.fr - Nouvelle fenêtre" w:history="1">
        <w:r w:rsidR="007069BA" w:rsidRPr="00A03EF2">
          <w:rPr>
            <w:rFonts w:ascii="Times New Roman" w:eastAsia="Times New Roman" w:hAnsi="Times New Roman" w:cs="Times New Roman"/>
            <w:color w:val="414856"/>
            <w:sz w:val="24"/>
            <w:szCs w:val="24"/>
            <w:lang w:eastAsia="fr-FR"/>
          </w:rPr>
          <w:t xml:space="preserve">Décret du 21 juin 2019 relatif à la protection complémentaire en matière de santé prévue à l'article L. 861-1 du code de la sécurité sociale </w:t>
        </w:r>
      </w:hyperlink>
    </w:p>
    <w:p w:rsidR="007069BA" w:rsidRPr="00A03EF2" w:rsidRDefault="00A03EF2" w:rsidP="007069BA">
      <w:pPr>
        <w:numPr>
          <w:ilvl w:val="0"/>
          <w:numId w:val="3"/>
        </w:numPr>
        <w:spacing w:after="0" w:line="240" w:lineRule="auto"/>
        <w:rPr>
          <w:rFonts w:ascii="Times New Roman" w:eastAsia="Times New Roman" w:hAnsi="Times New Roman" w:cs="Times New Roman"/>
          <w:sz w:val="24"/>
          <w:szCs w:val="24"/>
          <w:lang w:eastAsia="fr-FR"/>
        </w:rPr>
      </w:pPr>
      <w:hyperlink r:id="rId8" w:tgtFrame="_blank" w:tooltip="Décret du 21 juin 2019 relatif aux modalités de remboursement des dépenses engagées par les organismes gestionnaires pour la mise en œuvre de la protection complémentaire en matière de santé mentionnée à l'article L. 861-1 du code de la sécurité sociale - www." w:history="1">
        <w:r w:rsidR="007069BA" w:rsidRPr="00A03EF2">
          <w:rPr>
            <w:rFonts w:ascii="Times New Roman" w:eastAsia="Times New Roman" w:hAnsi="Times New Roman" w:cs="Times New Roman"/>
            <w:color w:val="414856"/>
            <w:sz w:val="24"/>
            <w:szCs w:val="24"/>
            <w:lang w:eastAsia="fr-FR"/>
          </w:rPr>
          <w:t>Décret du 21 juin 2019 relatif aux modalités de remboursement des dépenses engagées par les organismes gestionnaires pour la mise en œuvre de la protection complémentaire en matière de santé</w:t>
        </w:r>
        <w:r>
          <w:rPr>
            <w:rFonts w:ascii="Times New Roman" w:eastAsia="Times New Roman" w:hAnsi="Times New Roman" w:cs="Times New Roman"/>
            <w:color w:val="414856"/>
            <w:sz w:val="24"/>
            <w:szCs w:val="24"/>
            <w:lang w:eastAsia="fr-FR"/>
          </w:rPr>
          <w:t>.</w:t>
        </w:r>
      </w:hyperlink>
      <w:bookmarkStart w:id="0" w:name="_GoBack"/>
      <w:bookmarkEnd w:id="0"/>
    </w:p>
    <w:p w:rsidR="007069BA" w:rsidRDefault="007069BA"/>
    <w:sectPr w:rsidR="00706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D87BB8"/>
    <w:multiLevelType w:val="multilevel"/>
    <w:tmpl w:val="1A685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52CF9"/>
    <w:multiLevelType w:val="multilevel"/>
    <w:tmpl w:val="EF9C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305C61"/>
    <w:multiLevelType w:val="multilevel"/>
    <w:tmpl w:val="649E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9BA"/>
    <w:rsid w:val="001150EE"/>
    <w:rsid w:val="004A5CB8"/>
    <w:rsid w:val="007069BA"/>
    <w:rsid w:val="00A03E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267CC-2A6D-492E-8859-3B464007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023846">
      <w:bodyDiv w:val="1"/>
      <w:marLeft w:val="0"/>
      <w:marRight w:val="0"/>
      <w:marTop w:val="0"/>
      <w:marBottom w:val="0"/>
      <w:divBdr>
        <w:top w:val="none" w:sz="0" w:space="0" w:color="auto"/>
        <w:left w:val="none" w:sz="0" w:space="0" w:color="auto"/>
        <w:bottom w:val="none" w:sz="0" w:space="0" w:color="auto"/>
        <w:right w:val="none" w:sz="0" w:space="0" w:color="auto"/>
      </w:divBdr>
      <w:divsChild>
        <w:div w:id="1318072050">
          <w:marLeft w:val="0"/>
          <w:marRight w:val="0"/>
          <w:marTop w:val="0"/>
          <w:marBottom w:val="0"/>
          <w:divBdr>
            <w:top w:val="none" w:sz="0" w:space="0" w:color="auto"/>
            <w:left w:val="none" w:sz="0" w:space="0" w:color="auto"/>
            <w:bottom w:val="none" w:sz="0" w:space="0" w:color="auto"/>
            <w:right w:val="none" w:sz="0" w:space="0" w:color="auto"/>
          </w:divBdr>
          <w:divsChild>
            <w:div w:id="1865047986">
              <w:marLeft w:val="0"/>
              <w:marRight w:val="0"/>
              <w:marTop w:val="0"/>
              <w:marBottom w:val="0"/>
              <w:divBdr>
                <w:top w:val="none" w:sz="0" w:space="0" w:color="auto"/>
                <w:left w:val="none" w:sz="0" w:space="0" w:color="auto"/>
                <w:bottom w:val="none" w:sz="0" w:space="0" w:color="auto"/>
                <w:right w:val="none" w:sz="0" w:space="0" w:color="auto"/>
              </w:divBdr>
              <w:divsChild>
                <w:div w:id="81908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4658">
          <w:marLeft w:val="0"/>
          <w:marRight w:val="0"/>
          <w:marTop w:val="0"/>
          <w:marBottom w:val="0"/>
          <w:divBdr>
            <w:top w:val="none" w:sz="0" w:space="0" w:color="auto"/>
            <w:left w:val="none" w:sz="0" w:space="0" w:color="auto"/>
            <w:bottom w:val="none" w:sz="0" w:space="0" w:color="auto"/>
            <w:right w:val="none" w:sz="0" w:space="0" w:color="auto"/>
          </w:divBdr>
          <w:divsChild>
            <w:div w:id="1651320942">
              <w:marLeft w:val="0"/>
              <w:marRight w:val="0"/>
              <w:marTop w:val="0"/>
              <w:marBottom w:val="0"/>
              <w:divBdr>
                <w:top w:val="none" w:sz="0" w:space="0" w:color="auto"/>
                <w:left w:val="none" w:sz="0" w:space="0" w:color="auto"/>
                <w:bottom w:val="none" w:sz="0" w:space="0" w:color="auto"/>
                <w:right w:val="none" w:sz="0" w:space="0" w:color="auto"/>
              </w:divBdr>
              <w:divsChild>
                <w:div w:id="439683359">
                  <w:marLeft w:val="0"/>
                  <w:marRight w:val="0"/>
                  <w:marTop w:val="0"/>
                  <w:marBottom w:val="0"/>
                  <w:divBdr>
                    <w:top w:val="none" w:sz="0" w:space="0" w:color="auto"/>
                    <w:left w:val="none" w:sz="0" w:space="0" w:color="auto"/>
                    <w:bottom w:val="none" w:sz="0" w:space="0" w:color="auto"/>
                    <w:right w:val="none" w:sz="0" w:space="0" w:color="auto"/>
                  </w:divBdr>
                </w:div>
              </w:divsChild>
            </w:div>
            <w:div w:id="738745643">
              <w:marLeft w:val="0"/>
              <w:marRight w:val="0"/>
              <w:marTop w:val="0"/>
              <w:marBottom w:val="0"/>
              <w:divBdr>
                <w:top w:val="none" w:sz="0" w:space="0" w:color="auto"/>
                <w:left w:val="none" w:sz="0" w:space="0" w:color="auto"/>
                <w:bottom w:val="none" w:sz="0" w:space="0" w:color="auto"/>
                <w:right w:val="none" w:sz="0" w:space="0" w:color="auto"/>
              </w:divBdr>
            </w:div>
            <w:div w:id="1550722086">
              <w:marLeft w:val="0"/>
              <w:marRight w:val="0"/>
              <w:marTop w:val="0"/>
              <w:marBottom w:val="360"/>
              <w:divBdr>
                <w:top w:val="single" w:sz="6" w:space="6" w:color="0B6BA8"/>
                <w:left w:val="single" w:sz="6" w:space="8" w:color="0B6BA8"/>
                <w:bottom w:val="single" w:sz="6" w:space="6" w:color="0B6BA8"/>
                <w:right w:val="single" w:sz="6" w:space="8" w:color="0B6BA8"/>
              </w:divBdr>
            </w:div>
          </w:divsChild>
        </w:div>
        <w:div w:id="1271357446">
          <w:marLeft w:val="0"/>
          <w:marRight w:val="0"/>
          <w:marTop w:val="0"/>
          <w:marBottom w:val="0"/>
          <w:divBdr>
            <w:top w:val="none" w:sz="0" w:space="0" w:color="auto"/>
            <w:left w:val="none" w:sz="0" w:space="0" w:color="auto"/>
            <w:bottom w:val="none" w:sz="0" w:space="0" w:color="auto"/>
            <w:right w:val="none" w:sz="0" w:space="0" w:color="auto"/>
          </w:divBdr>
          <w:divsChild>
            <w:div w:id="1813792029">
              <w:marLeft w:val="0"/>
              <w:marRight w:val="0"/>
              <w:marTop w:val="0"/>
              <w:marBottom w:val="0"/>
              <w:divBdr>
                <w:top w:val="none" w:sz="0" w:space="0" w:color="auto"/>
                <w:left w:val="none" w:sz="0" w:space="0" w:color="auto"/>
                <w:bottom w:val="none" w:sz="0" w:space="0" w:color="auto"/>
                <w:right w:val="none" w:sz="0" w:space="0" w:color="auto"/>
              </w:divBdr>
            </w:div>
            <w:div w:id="42076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eli/decret/2019/6/21/SSAS1914056D/jo/texte" TargetMode="External"/><Relationship Id="rId3" Type="http://schemas.openxmlformats.org/officeDocument/2006/relationships/settings" Target="settings.xml"/><Relationship Id="rId7" Type="http://schemas.openxmlformats.org/officeDocument/2006/relationships/hyperlink" Target="https://www.legifrance.gouv.fr/eli/decret/2019/6/21/SSAS1910136D/jo/tex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plementaire-sante-solidaire.gouv.fr/choix_oc.php" TargetMode="External"/><Relationship Id="rId5" Type="http://schemas.openxmlformats.org/officeDocument/2006/relationships/hyperlink" Target="https://www.ameli.fr/simulateur-droit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393</Words>
  <Characters>2163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Delenne</dc:creator>
  <cp:keywords/>
  <dc:description/>
  <cp:lastModifiedBy>robert barsacq</cp:lastModifiedBy>
  <cp:revision>3</cp:revision>
  <dcterms:created xsi:type="dcterms:W3CDTF">2020-01-07T15:11:00Z</dcterms:created>
  <dcterms:modified xsi:type="dcterms:W3CDTF">2020-01-12T10:15:00Z</dcterms:modified>
</cp:coreProperties>
</file>