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DC495" w14:textId="4F1D53A5" w:rsidR="00D72954" w:rsidRDefault="003D4D8D" w:rsidP="003D4D8D">
      <w:pPr>
        <w:jc w:val="center"/>
        <w:rPr>
          <w:b/>
          <w:bCs/>
          <w:sz w:val="32"/>
          <w:szCs w:val="32"/>
        </w:rPr>
      </w:pPr>
      <w:r w:rsidRPr="003D4D8D">
        <w:rPr>
          <w:b/>
          <w:bCs/>
          <w:sz w:val="32"/>
          <w:szCs w:val="32"/>
        </w:rPr>
        <w:t>RAPPORT IGAS 2020 – HANDICAP ET EMPLOI</w:t>
      </w:r>
    </w:p>
    <w:p w14:paraId="331EB72F" w14:textId="79712623" w:rsidR="003D4D8D" w:rsidRDefault="003D4D8D" w:rsidP="003D4D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Une approche ouverte et à long terme</w:t>
      </w:r>
    </w:p>
    <w:p w14:paraId="04D10401" w14:textId="6193546E" w:rsidR="003D4D8D" w:rsidRDefault="003D4D8D" w:rsidP="003D4D8D">
      <w:pPr>
        <w:rPr>
          <w:b/>
          <w:bCs/>
          <w:sz w:val="24"/>
          <w:szCs w:val="24"/>
        </w:rPr>
      </w:pPr>
    </w:p>
    <w:p w14:paraId="4880F3C5" w14:textId="45C81489" w:rsidR="003D4D8D" w:rsidRDefault="003D4D8D" w:rsidP="00DF25BF">
      <w:pPr>
        <w:rPr>
          <w:sz w:val="24"/>
          <w:szCs w:val="24"/>
        </w:rPr>
      </w:pPr>
      <w:r>
        <w:rPr>
          <w:sz w:val="24"/>
          <w:szCs w:val="24"/>
        </w:rPr>
        <w:t xml:space="preserve">Il s’agit d’une réflexion qui s’appuie sur un très riche matériau : textes juridiques, statistiques, entretiens, témoignages, modèles développés à l’étranger… </w:t>
      </w:r>
      <w:r w:rsidR="00CC1906">
        <w:rPr>
          <w:sz w:val="24"/>
          <w:szCs w:val="24"/>
        </w:rPr>
        <w:t>a</w:t>
      </w:r>
      <w:r>
        <w:rPr>
          <w:sz w:val="24"/>
          <w:szCs w:val="24"/>
        </w:rPr>
        <w:t>u croisement des politiques de l’emploi, du handicap et de la santé au travail.</w:t>
      </w:r>
      <w:r w:rsidR="00CC1906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Il vise à faire comprendre l’enjeu de cette thématique à l’heure o</w:t>
      </w:r>
      <w:r w:rsidR="00CC1906">
        <w:rPr>
          <w:sz w:val="24"/>
          <w:szCs w:val="24"/>
        </w:rPr>
        <w:t>ù</w:t>
      </w:r>
      <w:r>
        <w:rPr>
          <w:sz w:val="24"/>
          <w:szCs w:val="24"/>
        </w:rPr>
        <w:t xml:space="preserve"> il y a 6 millions de personnes en situation de handicap en France, 1 français sur cinq présente une maladie chronique évolutive et où la population active avance en âge.</w:t>
      </w:r>
      <w:r w:rsidR="00CC1906">
        <w:rPr>
          <w:sz w:val="24"/>
          <w:szCs w:val="24"/>
        </w:rPr>
        <w:t xml:space="preserve">                                                      </w:t>
      </w:r>
      <w:r w:rsidR="00DF25BF">
        <w:rPr>
          <w:sz w:val="24"/>
          <w:szCs w:val="24"/>
        </w:rPr>
        <w:t xml:space="preserve"> Il éclaire les questionnements pour finir par proposer trois scénarios possibles d’évolution du modèle Français. Objectif : prendre</w:t>
      </w:r>
      <w:r w:rsidR="00993570">
        <w:rPr>
          <w:sz w:val="24"/>
          <w:szCs w:val="24"/>
        </w:rPr>
        <w:t xml:space="preserve"> véritablement</w:t>
      </w:r>
      <w:r w:rsidR="00DF25BF">
        <w:rPr>
          <w:sz w:val="24"/>
          <w:szCs w:val="24"/>
        </w:rPr>
        <w:t xml:space="preserve"> en compte le handicap dans l’emploi :                                                                                                                                                        - premier scénario : </w:t>
      </w:r>
      <w:r w:rsidR="00DF25BF" w:rsidRPr="00CC1906">
        <w:rPr>
          <w:b/>
          <w:bCs/>
          <w:sz w:val="24"/>
          <w:szCs w:val="24"/>
        </w:rPr>
        <w:t>le statu quo.</w:t>
      </w:r>
      <w:r w:rsidR="00DF25BF">
        <w:rPr>
          <w:sz w:val="24"/>
          <w:szCs w:val="24"/>
        </w:rPr>
        <w:t xml:space="preserve"> </w:t>
      </w:r>
      <w:r w:rsidR="00993570">
        <w:rPr>
          <w:sz w:val="24"/>
          <w:szCs w:val="24"/>
        </w:rPr>
        <w:t>Donc d</w:t>
      </w:r>
      <w:r w:rsidR="00DF25BF">
        <w:rPr>
          <w:sz w:val="24"/>
          <w:szCs w:val="24"/>
        </w:rPr>
        <w:t>es aménagements incontournables, une politique de compensation mais avec la recherche de nouvelles sources de financement</w:t>
      </w:r>
      <w:r w:rsidR="00CC1906">
        <w:rPr>
          <w:sz w:val="24"/>
          <w:szCs w:val="24"/>
        </w:rPr>
        <w:t xml:space="preserve"> et</w:t>
      </w:r>
      <w:r w:rsidR="00DF25BF">
        <w:rPr>
          <w:sz w:val="24"/>
          <w:szCs w:val="24"/>
        </w:rPr>
        <w:t xml:space="preserve"> avec un rapprochement avec la politique de santé au travai</w:t>
      </w:r>
      <w:r w:rsidR="00CC1906">
        <w:rPr>
          <w:sz w:val="24"/>
          <w:szCs w:val="24"/>
        </w:rPr>
        <w:t>l (médecine du travail)</w:t>
      </w:r>
      <w:r w:rsidR="00DF25BF">
        <w:rPr>
          <w:sz w:val="24"/>
          <w:szCs w:val="24"/>
        </w:rPr>
        <w:t xml:space="preserve">;                                                                                  - deuxième scénario : </w:t>
      </w:r>
      <w:r w:rsidR="00DF25BF" w:rsidRPr="00CC1906">
        <w:rPr>
          <w:b/>
          <w:bCs/>
          <w:sz w:val="24"/>
          <w:szCs w:val="24"/>
        </w:rPr>
        <w:t>la refondation avec le pari de l’inclusion</w:t>
      </w:r>
      <w:r w:rsidR="00DF25BF">
        <w:rPr>
          <w:sz w:val="24"/>
          <w:szCs w:val="24"/>
        </w:rPr>
        <w:t>. L’environnement est aménagé</w:t>
      </w:r>
      <w:r w:rsidR="00CC1906">
        <w:rPr>
          <w:sz w:val="24"/>
          <w:szCs w:val="24"/>
        </w:rPr>
        <w:t>,</w:t>
      </w:r>
      <w:r w:rsidR="00DF25BF">
        <w:rPr>
          <w:sz w:val="24"/>
          <w:szCs w:val="24"/>
        </w:rPr>
        <w:t xml:space="preserve"> pour tous</w:t>
      </w:r>
      <w:r w:rsidR="00CC1906">
        <w:rPr>
          <w:sz w:val="24"/>
          <w:szCs w:val="24"/>
        </w:rPr>
        <w:t>,</w:t>
      </w:r>
      <w:r w:rsidR="00B61917">
        <w:rPr>
          <w:sz w:val="24"/>
          <w:szCs w:val="24"/>
        </w:rPr>
        <w:t xml:space="preserve"> selon le principe de « l’accessibilité universelle ».</w:t>
      </w:r>
      <w:r w:rsidR="00E12675">
        <w:rPr>
          <w:sz w:val="24"/>
          <w:szCs w:val="24"/>
        </w:rPr>
        <w:t xml:space="preserve"> Inspiration :</w:t>
      </w:r>
      <w:r w:rsidR="00CC1906">
        <w:rPr>
          <w:sz w:val="24"/>
          <w:szCs w:val="24"/>
        </w:rPr>
        <w:t xml:space="preserve"> </w:t>
      </w:r>
      <w:r w:rsidR="00E12675">
        <w:rPr>
          <w:sz w:val="24"/>
          <w:szCs w:val="24"/>
        </w:rPr>
        <w:t>le</w:t>
      </w:r>
      <w:r w:rsidR="00B61917">
        <w:rPr>
          <w:sz w:val="24"/>
          <w:szCs w:val="24"/>
        </w:rPr>
        <w:t xml:space="preserve"> </w:t>
      </w:r>
      <w:r w:rsidR="00E12675">
        <w:rPr>
          <w:sz w:val="24"/>
          <w:szCs w:val="24"/>
        </w:rPr>
        <w:t>m</w:t>
      </w:r>
      <w:r w:rsidR="00B61917">
        <w:rPr>
          <w:sz w:val="24"/>
          <w:szCs w:val="24"/>
        </w:rPr>
        <w:t>odèle suédoi</w:t>
      </w:r>
      <w:r w:rsidR="00E12675">
        <w:rPr>
          <w:sz w:val="24"/>
          <w:szCs w:val="24"/>
        </w:rPr>
        <w:t>s</w:t>
      </w:r>
      <w:r w:rsidR="00CC1906">
        <w:rPr>
          <w:sz w:val="24"/>
          <w:szCs w:val="24"/>
        </w:rPr>
        <w:t>.</w:t>
      </w:r>
      <w:r w:rsidR="00B61917">
        <w:rPr>
          <w:sz w:val="24"/>
          <w:szCs w:val="24"/>
        </w:rPr>
        <w:t xml:space="preserve"> Le financement du système est fondé sur la solidarité nationale ;                                                    -troisième scénario</w:t>
      </w:r>
      <w:r w:rsidR="00E12675">
        <w:rPr>
          <w:sz w:val="24"/>
          <w:szCs w:val="24"/>
        </w:rPr>
        <w:t> :</w:t>
      </w:r>
      <w:r w:rsidR="00330BCF">
        <w:rPr>
          <w:sz w:val="24"/>
          <w:szCs w:val="24"/>
        </w:rPr>
        <w:t xml:space="preserve"> </w:t>
      </w:r>
      <w:r w:rsidR="00E12675" w:rsidRPr="00CC1906">
        <w:rPr>
          <w:b/>
          <w:bCs/>
          <w:sz w:val="24"/>
          <w:szCs w:val="24"/>
        </w:rPr>
        <w:t>l</w:t>
      </w:r>
      <w:r w:rsidR="00B61917" w:rsidRPr="00CC1906">
        <w:rPr>
          <w:b/>
          <w:bCs/>
          <w:sz w:val="24"/>
          <w:szCs w:val="24"/>
        </w:rPr>
        <w:t>e recentrage</w:t>
      </w:r>
      <w:r w:rsidR="00B61917">
        <w:rPr>
          <w:sz w:val="24"/>
          <w:szCs w:val="24"/>
        </w:rPr>
        <w:t xml:space="preserve">. Les dispositifs sont plus ciblés. Dans l’ensemble, le système actuel est conservé mais les soutiens se concentrent sur les situations les plus problématiques. Poux </w:t>
      </w:r>
      <w:r w:rsidR="00CC1906">
        <w:rPr>
          <w:sz w:val="24"/>
          <w:szCs w:val="24"/>
        </w:rPr>
        <w:t>elles</w:t>
      </w:r>
      <w:r w:rsidR="00582820">
        <w:rPr>
          <w:sz w:val="24"/>
          <w:szCs w:val="24"/>
        </w:rPr>
        <w:t>,</w:t>
      </w:r>
      <w:r w:rsidR="00B61917">
        <w:rPr>
          <w:sz w:val="24"/>
          <w:szCs w:val="24"/>
        </w:rPr>
        <w:t xml:space="preserve"> sont prévus les aménagements de poste, l’accompagnement dans l’emploi, la compensation financière.</w:t>
      </w:r>
      <w:r w:rsidR="00E12675">
        <w:rPr>
          <w:sz w:val="24"/>
          <w:szCs w:val="24"/>
        </w:rPr>
        <w:t xml:space="preserve"> Inspiration : le m</w:t>
      </w:r>
      <w:r w:rsidR="00B61917">
        <w:rPr>
          <w:sz w:val="24"/>
          <w:szCs w:val="24"/>
        </w:rPr>
        <w:t>odèle</w:t>
      </w:r>
      <w:r w:rsidR="00E12675">
        <w:rPr>
          <w:sz w:val="24"/>
          <w:szCs w:val="24"/>
        </w:rPr>
        <w:t xml:space="preserve"> allemand</w:t>
      </w:r>
      <w:r w:rsidR="00CC1906">
        <w:rPr>
          <w:sz w:val="24"/>
          <w:szCs w:val="24"/>
        </w:rPr>
        <w:t>.</w:t>
      </w:r>
    </w:p>
    <w:p w14:paraId="2476D8DF" w14:textId="523AC248" w:rsidR="00330BCF" w:rsidRDefault="00CC1906" w:rsidP="00DF25BF">
      <w:pPr>
        <w:rPr>
          <w:sz w:val="24"/>
          <w:szCs w:val="24"/>
        </w:rPr>
      </w:pPr>
      <w:r>
        <w:rPr>
          <w:sz w:val="24"/>
          <w:szCs w:val="24"/>
        </w:rPr>
        <w:t>Le rapport très précis</w:t>
      </w:r>
      <w:r w:rsidR="00582820">
        <w:rPr>
          <w:sz w:val="24"/>
          <w:szCs w:val="24"/>
        </w:rPr>
        <w:t>, détaillé</w:t>
      </w:r>
      <w:r>
        <w:rPr>
          <w:sz w:val="24"/>
          <w:szCs w:val="24"/>
        </w:rPr>
        <w:t xml:space="preserve"> et documenté est précédé une excellente synthèse</w:t>
      </w:r>
      <w:r w:rsidR="005828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33B4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A lire</w:t>
      </w:r>
      <w:r w:rsidR="00533B40">
        <w:rPr>
          <w:sz w:val="24"/>
          <w:szCs w:val="24"/>
        </w:rPr>
        <w:t>.</w:t>
      </w:r>
      <w:r w:rsidR="00330BCF">
        <w:rPr>
          <w:sz w:val="24"/>
          <w:szCs w:val="24"/>
        </w:rPr>
        <w:t xml:space="preserve">  </w:t>
      </w:r>
    </w:p>
    <w:p w14:paraId="333C1561" w14:textId="5A6B4A7F" w:rsidR="00A90BEE" w:rsidRDefault="00A90BEE" w:rsidP="00DF25BF">
      <w:pPr>
        <w:rPr>
          <w:sz w:val="24"/>
          <w:szCs w:val="24"/>
        </w:rPr>
      </w:pPr>
      <w:hyperlink r:id="rId4" w:history="1">
        <w:r w:rsidRPr="0030416A">
          <w:rPr>
            <w:rStyle w:val="Lienhypertexte"/>
            <w:sz w:val="24"/>
            <w:szCs w:val="24"/>
          </w:rPr>
          <w:t>https://www.igas.gouv.fr/</w:t>
        </w:r>
      </w:hyperlink>
      <w:r>
        <w:rPr>
          <w:sz w:val="24"/>
          <w:szCs w:val="24"/>
        </w:rPr>
        <w:t xml:space="preserve"> </w:t>
      </w:r>
    </w:p>
    <w:p w14:paraId="05806F71" w14:textId="27C24A22" w:rsidR="00CC1906" w:rsidRPr="003D4D8D" w:rsidRDefault="00330BCF" w:rsidP="00DF25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sectPr w:rsidR="00CC1906" w:rsidRPr="003D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4"/>
    <w:rsid w:val="00330BCF"/>
    <w:rsid w:val="003D4D8D"/>
    <w:rsid w:val="00533B40"/>
    <w:rsid w:val="00582820"/>
    <w:rsid w:val="00993570"/>
    <w:rsid w:val="00A90BEE"/>
    <w:rsid w:val="00B61917"/>
    <w:rsid w:val="00CC1906"/>
    <w:rsid w:val="00D72954"/>
    <w:rsid w:val="00DF25BF"/>
    <w:rsid w:val="00E12675"/>
    <w:rsid w:val="00E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0A35"/>
  <w15:chartTrackingRefBased/>
  <w15:docId w15:val="{C8D32520-3560-4A1A-8DD6-C5610BA8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0BC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gas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Delenne</dc:creator>
  <cp:keywords/>
  <dc:description/>
  <cp:lastModifiedBy>Delenne</cp:lastModifiedBy>
  <cp:revision>4</cp:revision>
  <dcterms:created xsi:type="dcterms:W3CDTF">2021-01-31T10:46:00Z</dcterms:created>
  <dcterms:modified xsi:type="dcterms:W3CDTF">2021-01-31T11:09:00Z</dcterms:modified>
</cp:coreProperties>
</file>